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24"/>
        </w:rPr>
      </w:pPr>
      <w:bookmarkStart w:id="4" w:name="_GoBack"/>
      <w:bookmarkEnd w:id="4"/>
    </w:p>
    <w:p>
      <w:pPr>
        <w:pStyle w:val="2"/>
        <w:rPr>
          <w:rFonts w:hint="eastAsia" w:ascii="仿宋_GB2312" w:hAnsi="宋体" w:eastAsia="仿宋_GB2312"/>
          <w:sz w:val="24"/>
        </w:rPr>
      </w:pPr>
    </w:p>
    <w:p>
      <w:pPr>
        <w:rPr>
          <w:rFonts w:hint="eastAsia" w:ascii="仿宋_GB2312" w:hAnsi="宋体" w:eastAsia="仿宋_GB2312"/>
          <w:sz w:val="24"/>
        </w:rPr>
      </w:pPr>
    </w:p>
    <w:p>
      <w:pPr>
        <w:pStyle w:val="2"/>
        <w:rPr>
          <w:rFonts w:hint="eastAsia"/>
        </w:rPr>
      </w:pPr>
    </w:p>
    <w:p>
      <w:pPr>
        <w:spacing w:line="600" w:lineRule="exact"/>
        <w:jc w:val="center"/>
        <w:rPr>
          <w:rFonts w:hint="eastAsia" w:ascii="Times New Roman" w:hAnsi="Times New Roman" w:eastAsia="仿宋_GB2312" w:cs="Times New Roman"/>
          <w:b/>
          <w:bCs/>
          <w:sz w:val="36"/>
          <w:szCs w:val="36"/>
          <w:u w:val="thick"/>
        </w:rPr>
      </w:pPr>
      <w:r>
        <w:rPr>
          <w:rFonts w:hint="eastAsia" w:ascii="Times New Roman" w:hAnsi="Times New Roman" w:eastAsia="仿宋_GB2312" w:cs="Times New Roman"/>
          <w:b/>
          <w:bCs/>
          <w:sz w:val="36"/>
          <w:szCs w:val="36"/>
          <w:u w:val="single"/>
        </w:rPr>
        <w:t>G0512线成都至乐山高速公路扩容建设项目成都第二</w:t>
      </w:r>
      <w:r>
        <w:rPr>
          <w:rFonts w:hint="eastAsia" w:ascii="Times New Roman" w:hAnsi="Times New Roman" w:eastAsia="仿宋_GB2312" w:cs="Times New Roman"/>
          <w:b/>
          <w:bCs/>
          <w:sz w:val="36"/>
          <w:szCs w:val="36"/>
          <w:u w:val="thick"/>
        </w:rPr>
        <w:t>绕城高速至辜李坝段检测项目</w:t>
      </w:r>
    </w:p>
    <w:p>
      <w:pPr>
        <w:spacing w:line="600" w:lineRule="exact"/>
        <w:jc w:val="center"/>
        <w:rPr>
          <w:rFonts w:hint="eastAsia" w:eastAsia="仿宋_GB2312"/>
          <w:b/>
          <w:bCs/>
          <w:sz w:val="36"/>
          <w:szCs w:val="36"/>
        </w:rPr>
      </w:pP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sectPr>
          <w:footerReference r:id="rId3" w:type="default"/>
          <w:footerReference r:id="rId4" w:type="even"/>
          <w:pgSz w:w="11906" w:h="16838"/>
          <w:pgMar w:top="850" w:right="1797" w:bottom="1134" w:left="1797" w:header="851" w:footer="992" w:gutter="0"/>
          <w:pgNumType w:fmt="decimal" w:start="1"/>
          <w:cols w:space="720" w:num="1"/>
          <w:docGrid w:type="lines" w:linePitch="312" w:charSpace="0"/>
        </w:sectPr>
      </w:pPr>
    </w:p>
    <w:p>
      <w:pPr>
        <w:rPr>
          <w:rFonts w:hint="eastAsia"/>
        </w:rPr>
      </w:pPr>
    </w:p>
    <w:p>
      <w:pPr>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both"/>
        <w:rPr>
          <w:rFonts w:hint="eastAsia" w:ascii="仿宋_GB2312" w:hAnsi="宋体" w:eastAsia="黑体"/>
          <w:b/>
          <w:sz w:val="32"/>
          <w:szCs w:val="32"/>
        </w:rPr>
      </w:pPr>
    </w:p>
    <w:p>
      <w:pPr>
        <w:jc w:val="center"/>
        <w:rPr>
          <w:rFonts w:hint="eastAsia" w:ascii="仿宋_GB2312" w:hAnsi="宋体" w:eastAsia="黑体"/>
          <w:b/>
          <w:sz w:val="32"/>
          <w:szCs w:val="32"/>
        </w:rPr>
        <w:sectPr>
          <w:footerReference r:id="rId5" w:type="default"/>
          <w:footerReference r:id="rId6" w:type="even"/>
          <w:pgSz w:w="11906" w:h="16838"/>
          <w:pgMar w:top="850" w:right="1797" w:bottom="1134" w:left="1797" w:header="851" w:footer="992" w:gutter="0"/>
          <w:pgNumType w:fmt="decimal" w:start="1"/>
          <w:cols w:space="720" w:num="1"/>
          <w:docGrid w:type="lines" w:linePitch="312" w:charSpace="0"/>
        </w:sect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G0512线成都至乐山高速公路扩容建设项目成都第二绕城高速至辜李坝段检测项目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87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838"/>
        <w:gridCol w:w="809"/>
        <w:gridCol w:w="1210"/>
        <w:gridCol w:w="1632"/>
        <w:gridCol w:w="15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838"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eastAsia="仿宋_GB2312"/>
                <w:sz w:val="24"/>
              </w:rPr>
            </w:pPr>
            <w:r>
              <w:rPr>
                <w:rFonts w:hint="eastAsia" w:ascii="仿宋_GB2312" w:eastAsia="仿宋_GB2312"/>
                <w:sz w:val="24"/>
              </w:rPr>
              <w:t>采购内容</w:t>
            </w:r>
          </w:p>
        </w:tc>
        <w:tc>
          <w:tcPr>
            <w:tcW w:w="809"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单位</w:t>
            </w:r>
          </w:p>
        </w:tc>
        <w:tc>
          <w:tcPr>
            <w:tcW w:w="1210"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预计数量</w:t>
            </w:r>
          </w:p>
        </w:tc>
        <w:tc>
          <w:tcPr>
            <w:tcW w:w="1632"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限价（元/张）</w:t>
            </w:r>
          </w:p>
        </w:tc>
        <w:tc>
          <w:tcPr>
            <w:tcW w:w="1558"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eastAsia="zh-CN"/>
              </w:rPr>
              <w:t>单价</w:t>
            </w:r>
            <w:r>
              <w:rPr>
                <w:rFonts w:hint="eastAsia" w:ascii="仿宋_GB2312" w:hAnsi="Times New Roman" w:eastAsia="仿宋_GB2312" w:cs="Times New Roman"/>
                <w:sz w:val="24"/>
                <w:lang w:val="en-US" w:eastAsia="zh-CN"/>
              </w:rPr>
              <w:t>（元/张）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bottom"/>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838" w:type="dxa"/>
            <w:noWrap w:val="0"/>
            <w:vAlign w:val="center"/>
          </w:tcPr>
          <w:p>
            <w:pPr>
              <w:snapToGrid w:val="0"/>
              <w:spacing w:line="240" w:lineRule="auto"/>
              <w:ind w:leftChars="100"/>
              <w:jc w:val="center"/>
              <w:rPr>
                <w:rFonts w:hint="eastAsia" w:ascii="仿宋_GB2312" w:hAnsi="Times New Roman" w:eastAsia="仿宋_GB2312" w:cs="Times New Roman"/>
                <w:sz w:val="24"/>
              </w:rPr>
            </w:pPr>
            <w:r>
              <w:rPr>
                <w:rFonts w:hint="eastAsia" w:ascii="仿宋_GB2312" w:hAnsi="Times New Roman" w:eastAsia="仿宋_GB2312" w:cs="Times New Roman"/>
                <w:sz w:val="24"/>
                <w:lang w:val="en-US" w:eastAsia="zh-CN"/>
              </w:rPr>
              <w:t>X射线探伤检测（包含人员、车辆及耗材）</w:t>
            </w:r>
          </w:p>
        </w:tc>
        <w:tc>
          <w:tcPr>
            <w:tcW w:w="809" w:type="dxa"/>
            <w:noWrap w:val="0"/>
            <w:vAlign w:val="bottom"/>
          </w:tcPr>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张</w:t>
            </w:r>
          </w:p>
        </w:tc>
        <w:tc>
          <w:tcPr>
            <w:tcW w:w="1210" w:type="dxa"/>
            <w:noWrap w:val="0"/>
            <w:vAlign w:val="bottom"/>
          </w:tcPr>
          <w:p>
            <w:pPr>
              <w:snapToGrid w:val="0"/>
              <w:spacing w:line="360" w:lineRule="auto"/>
              <w:jc w:val="center"/>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1520</w:t>
            </w:r>
          </w:p>
        </w:tc>
        <w:tc>
          <w:tcPr>
            <w:tcW w:w="1632" w:type="dxa"/>
            <w:noWrap w:val="0"/>
            <w:vAlign w:val="bottom"/>
          </w:tcPr>
          <w:p>
            <w:pPr>
              <w:snapToGrid w:val="0"/>
              <w:spacing w:line="360" w:lineRule="auto"/>
              <w:jc w:val="center"/>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90</w:t>
            </w:r>
          </w:p>
        </w:tc>
        <w:tc>
          <w:tcPr>
            <w:tcW w:w="1558"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528"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5209" w:type="dxa"/>
            <w:gridSpan w:val="4"/>
            <w:tcBorders>
              <w:left w:val="single" w:color="auto" w:sz="4" w:space="0"/>
            </w:tcBorders>
            <w:noWrap w:val="0"/>
            <w:vAlign w:val="center"/>
          </w:tcPr>
          <w:p>
            <w:pPr>
              <w:snapToGrid w:val="0"/>
              <w:spacing w:line="240" w:lineRule="auto"/>
              <w:ind w:firstLine="480" w:firstLineChars="200"/>
              <w:jc w:val="center"/>
              <w:rPr>
                <w:rFonts w:hint="default" w:ascii="仿宋_GB2312" w:eastAsia="仿宋_GB2312"/>
                <w:sz w:val="24"/>
                <w:lang w:val="en-US" w:eastAsia="zh-CN"/>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both"/>
        <w:textAlignment w:val="auto"/>
        <w:rPr>
          <w:rFonts w:hint="eastAsia" w:ascii="仿宋_GB2312" w:eastAsia="仿宋_GB2312"/>
          <w:sz w:val="24"/>
        </w:rPr>
      </w:pPr>
      <w:r>
        <w:rPr>
          <w:rFonts w:hint="eastAsia" w:ascii="仿宋_GB2312" w:eastAsia="仿宋_GB2312"/>
          <w:sz w:val="24"/>
        </w:rPr>
        <w:t>此报价提供增值税专票□   普票□     税率为  %</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1</w:t>
      </w:r>
      <w:r>
        <w:rPr>
          <w:rFonts w:hint="eastAsia" w:ascii="仿宋_GB2312" w:eastAsia="仿宋_GB2312"/>
          <w:sz w:val="24"/>
          <w:szCs w:val="24"/>
          <w:lang w:eastAsia="zh-CN"/>
        </w:rPr>
        <w:t>年</w:t>
      </w:r>
      <w:r>
        <w:rPr>
          <w:rFonts w:hint="eastAsia" w:ascii="仿宋_GB2312" w:eastAsia="仿宋_GB2312"/>
          <w:sz w:val="24"/>
          <w:lang w:val="en-US" w:eastAsia="zh-CN"/>
        </w:rPr>
        <w:t>。</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rPr>
      </w:pPr>
      <w:r>
        <w:rPr>
          <w:rFonts w:hint="eastAsia" w:ascii="仿宋_GB2312" w:eastAsia="仿宋_GB2312"/>
          <w:sz w:val="24"/>
          <w:lang w:val="en-US" w:eastAsia="zh-CN"/>
        </w:rPr>
        <w:t xml:space="preserve">        联系人：              联系电话：             联系地址：    </w:t>
      </w: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p>
    <w:p>
      <w:pPr>
        <w:pStyle w:val="2"/>
        <w:rPr>
          <w:rFonts w:hint="eastAsia"/>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 xml:space="preserve">供应商名称：   </w:t>
      </w:r>
      <w:r>
        <w:rPr>
          <w:rFonts w:hint="eastAsia" w:ascii="仿宋_GB2312" w:eastAsia="仿宋_GB2312"/>
          <w:sz w:val="24"/>
          <w:lang w:val="en-US" w:eastAsia="zh-CN"/>
        </w:rPr>
        <w:t xml:space="preserve">    </w:t>
      </w:r>
      <w:r>
        <w:rPr>
          <w:rFonts w:hint="eastAsia" w:ascii="仿宋_GB2312" w:eastAsia="仿宋_GB2312"/>
          <w:sz w:val="24"/>
        </w:rPr>
        <w:t xml:space="preserve">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 xml:space="preserve">年 </w:t>
      </w:r>
      <w:r>
        <w:rPr>
          <w:rFonts w:hint="eastAsia" w:ascii="仿宋_GB2312" w:eastAsia="仿宋_GB2312"/>
          <w:sz w:val="24"/>
          <w:lang w:val="en-US" w:eastAsia="zh-CN"/>
        </w:rPr>
        <w:t xml:space="preserve">   </w:t>
      </w:r>
      <w:r>
        <w:rPr>
          <w:rFonts w:hint="eastAsia" w:ascii="仿宋_GB2312" w:eastAsia="仿宋_GB2312"/>
          <w:sz w:val="24"/>
        </w:rPr>
        <w:t xml:space="preserve">月 </w:t>
      </w:r>
      <w:r>
        <w:rPr>
          <w:rFonts w:hint="eastAsia" w:ascii="仿宋_GB2312" w:eastAsia="仿宋_GB2312"/>
          <w:sz w:val="24"/>
          <w:lang w:val="en-US" w:eastAsia="zh-CN"/>
        </w:rPr>
        <w:t xml:space="preserve">  </w:t>
      </w:r>
      <w:r>
        <w:rPr>
          <w:rFonts w:hint="eastAsia" w:ascii="仿宋_GB2312" w:eastAsia="仿宋_GB2312"/>
          <w:sz w:val="24"/>
        </w:rPr>
        <w:t xml:space="preserve"> 日</w:t>
      </w:r>
    </w:p>
    <w:p>
      <w:pPr>
        <w:pStyle w:val="2"/>
        <w:rPr>
          <w:rFonts w:hint="eastAsia" w:ascii="仿宋_GB2312" w:eastAsia="仿宋_GB2312"/>
          <w:sz w:val="24"/>
        </w:rPr>
      </w:pPr>
    </w:p>
    <w:p>
      <w:pPr>
        <w:rPr>
          <w:rFonts w:hint="eastAsia"/>
        </w:rPr>
      </w:pPr>
    </w:p>
    <w:p>
      <w:pPr>
        <w:pStyle w:val="2"/>
        <w:rPr>
          <w:rFonts w:hint="eastAsia"/>
        </w:rPr>
        <w:sectPr>
          <w:footerReference r:id="rId7" w:type="default"/>
          <w:footerReference r:id="rId8" w:type="even"/>
          <w:pgSz w:w="11906" w:h="16838"/>
          <w:pgMar w:top="850" w:right="1797" w:bottom="1134" w:left="1797" w:header="851" w:footer="992" w:gutter="0"/>
          <w:pgNumType w:fmt="decimal" w:start="1"/>
          <w:cols w:space="720" w:num="1"/>
          <w:docGrid w:type="lines" w:linePitch="312" w:charSpace="0"/>
        </w:sectPr>
      </w:pPr>
    </w:p>
    <w:p>
      <w:pPr>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footerReference r:id="rId9" w:type="default"/>
          <w:footerReference r:id="rId10" w:type="even"/>
          <w:pgSz w:w="11906" w:h="16838"/>
          <w:pgMar w:top="850" w:right="1797" w:bottom="1134" w:left="1797" w:header="851" w:footer="992" w:gutter="0"/>
          <w:pgNumType w:fmt="decimal"/>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footerReference r:id="rId13" w:type="first"/>
      <w:footerReference r:id="rId11" w:type="default"/>
      <w:footerReference r:id="rId12" w:type="even"/>
      <w:pgSz w:w="11906" w:h="16838"/>
      <w:pgMar w:top="1417" w:right="1417" w:bottom="1417" w:left="1474" w:header="851" w:footer="992" w:gutter="0"/>
      <w:pgNumType w:fmt="decimal"/>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方正小标宋简体">
    <w:altName w:val="黑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altName w:val="宋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jm9Gt4BAAC+AwAADgAAAGRycy9lMm9Eb2MueG1srVPNjtMwEL4j8Q6W&#10;7zTZSqy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SOb0a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eocd4BAAC+AwAADgAAAGRycy9lMm9Eb2MueG1srVPNjtMwEL4j8Q6W&#10;7zTZroS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Gx6hx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ind w:firstLine="180" w:firstLineChars="100"/>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tjwut4BAAC+AwAADgAAAGRycy9lMm9Eb2MueG1srVPNjtMwEL4j8Q6W&#10;7zTZaoW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O2PC63gEAAL4DAAAOAAAAAAAA&#10;AAEAIAAAAB4BAABkcnMvZTJvRG9jLnhtbFBLBQYAAAAABgAGAFkBAABuBQAAAAA=&#10;">
              <v:fill on="f" focussize="0,0"/>
              <v:stroke on="f"/>
              <v:imagedata o:title=""/>
              <o:lock v:ext="edit" aspectratio="f"/>
              <v:textbox inset="0mm,0mm,0mm,0mm" style="mso-fit-shape-to-text:t;">
                <w:txbxContent>
                  <w:p>
                    <w:pPr>
                      <w:pStyle w:val="12"/>
                      <w:ind w:firstLine="180" w:firstLineChars="10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1w0yr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Ansi="宋体"/>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ind w:firstLine="180" w:firstLineChars="100"/>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x1AtzdAQAAvgMAAA4AAAAAAAAA&#10;AQAgAAAAHgEAAGRycy9lMm9Eb2MueG1sUEsFBgAAAAAGAAYAWQEAAG0FAAAAAA==&#10;">
              <v:fill on="f" focussize="0,0"/>
              <v:stroke on="f"/>
              <v:imagedata o:title=""/>
              <o:lock v:ext="edit" aspectratio="f"/>
              <v:textbox inset="0mm,0mm,0mm,0mm" style="mso-fit-shape-to-text:t;">
                <w:txbxContent>
                  <w:p>
                    <w:pPr>
                      <w:pStyle w:val="12"/>
                      <w:ind w:firstLine="180" w:firstLineChars="10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4</w:t>
                          </w:r>
                          <w:r>
                            <w:fldChar w:fldCharType="end"/>
                          </w:r>
                        </w:p>
                      </w:txbxContent>
                    </wps:txbx>
                    <wps:bodyPr vert="horz" wrap="none" lIns="0" tIns="0" rIns="0" bIns="0" anchor="t" anchorCtr="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xJEmf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FiMzBiYjIyMWRhM2NmMmZlYWRmOTQ3NGMxMzY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3406D74"/>
    <w:rsid w:val="05755CE9"/>
    <w:rsid w:val="05844AE6"/>
    <w:rsid w:val="092D2D7D"/>
    <w:rsid w:val="0A8F3053"/>
    <w:rsid w:val="0B2A325E"/>
    <w:rsid w:val="0B5535EC"/>
    <w:rsid w:val="0C3924EF"/>
    <w:rsid w:val="0D690580"/>
    <w:rsid w:val="0E28096A"/>
    <w:rsid w:val="105038CD"/>
    <w:rsid w:val="128360CF"/>
    <w:rsid w:val="16734185"/>
    <w:rsid w:val="17BB0D51"/>
    <w:rsid w:val="180566C2"/>
    <w:rsid w:val="18DA187F"/>
    <w:rsid w:val="18EC2FDA"/>
    <w:rsid w:val="1AD51DE1"/>
    <w:rsid w:val="1CAF0084"/>
    <w:rsid w:val="1CE61ACF"/>
    <w:rsid w:val="1ECD5299"/>
    <w:rsid w:val="266E4A01"/>
    <w:rsid w:val="27082553"/>
    <w:rsid w:val="29474207"/>
    <w:rsid w:val="298C2DA5"/>
    <w:rsid w:val="2C4461F0"/>
    <w:rsid w:val="2D2F7006"/>
    <w:rsid w:val="2F92093C"/>
    <w:rsid w:val="30041CB9"/>
    <w:rsid w:val="32453814"/>
    <w:rsid w:val="326F1DF0"/>
    <w:rsid w:val="335C2DA1"/>
    <w:rsid w:val="33A00B44"/>
    <w:rsid w:val="33C720AB"/>
    <w:rsid w:val="33F57BF9"/>
    <w:rsid w:val="34555581"/>
    <w:rsid w:val="34F44C3B"/>
    <w:rsid w:val="35F23F03"/>
    <w:rsid w:val="37282C09"/>
    <w:rsid w:val="37CA6EBC"/>
    <w:rsid w:val="390C5C75"/>
    <w:rsid w:val="39112874"/>
    <w:rsid w:val="39CA1A2B"/>
    <w:rsid w:val="3BBA0696"/>
    <w:rsid w:val="3CAF5C0A"/>
    <w:rsid w:val="3F31561F"/>
    <w:rsid w:val="3F763EB2"/>
    <w:rsid w:val="400246E8"/>
    <w:rsid w:val="42251F78"/>
    <w:rsid w:val="42A84EA8"/>
    <w:rsid w:val="432E2B96"/>
    <w:rsid w:val="4420203C"/>
    <w:rsid w:val="44BF232B"/>
    <w:rsid w:val="44F963F4"/>
    <w:rsid w:val="45B878CE"/>
    <w:rsid w:val="47084BFB"/>
    <w:rsid w:val="471154C3"/>
    <w:rsid w:val="4895438D"/>
    <w:rsid w:val="4896755C"/>
    <w:rsid w:val="49516358"/>
    <w:rsid w:val="4A301F37"/>
    <w:rsid w:val="4A9C0CA2"/>
    <w:rsid w:val="4ADD21DA"/>
    <w:rsid w:val="4AFA543B"/>
    <w:rsid w:val="4D9C746C"/>
    <w:rsid w:val="4DA70238"/>
    <w:rsid w:val="4F886F8F"/>
    <w:rsid w:val="516A10C4"/>
    <w:rsid w:val="54983F96"/>
    <w:rsid w:val="5583247B"/>
    <w:rsid w:val="591677EB"/>
    <w:rsid w:val="595E47EC"/>
    <w:rsid w:val="5C11505E"/>
    <w:rsid w:val="5C9B6D60"/>
    <w:rsid w:val="5EB75B7F"/>
    <w:rsid w:val="5F9D1182"/>
    <w:rsid w:val="604641C1"/>
    <w:rsid w:val="60874357"/>
    <w:rsid w:val="61192603"/>
    <w:rsid w:val="623B53A2"/>
    <w:rsid w:val="64132831"/>
    <w:rsid w:val="642B176B"/>
    <w:rsid w:val="661F43D6"/>
    <w:rsid w:val="663A5B2E"/>
    <w:rsid w:val="69EA387A"/>
    <w:rsid w:val="6BD45772"/>
    <w:rsid w:val="6BDF07B3"/>
    <w:rsid w:val="6E55366C"/>
    <w:rsid w:val="6F253E6B"/>
    <w:rsid w:val="70467A08"/>
    <w:rsid w:val="71671D7B"/>
    <w:rsid w:val="71D26668"/>
    <w:rsid w:val="730A3BF2"/>
    <w:rsid w:val="74907AD9"/>
    <w:rsid w:val="75125EE1"/>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航务局_平行函</Template>
  <Company>hwj</Company>
  <Pages>11</Pages>
  <Words>1862</Words>
  <Characters>2019</Characters>
  <Lines>100</Lines>
  <Paragraphs>28</Paragraphs>
  <TotalTime>1</TotalTime>
  <ScaleCrop>false</ScaleCrop>
  <LinksUpToDate>false</LinksUpToDate>
  <CharactersWithSpaces>2646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2022-12-09T08:33:41Z</cp:lastPrinted>
  <dcterms:modified xsi:type="dcterms:W3CDTF">2022-12-09T10:07:05Z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B6A6599AB8764E60B983557B9CBD8C9F</vt:lpwstr>
  </property>
</Properties>
</file>